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9FEF37">
      <w:pPr>
        <w:tabs>
          <w:tab w:val="left" w:pos="210"/>
          <w:tab w:val="left" w:pos="360"/>
        </w:tabs>
        <w:rPr>
          <w:rFonts w:ascii="仿宋" w:eastAsia="仿宋" w:cs="仿宋"/>
          <w:sz w:val="28"/>
          <w:szCs w:val="32"/>
        </w:rPr>
      </w:pPr>
      <w:bookmarkStart w:id="0" w:name="_Toc140075354"/>
      <w:bookmarkStart w:id="1" w:name="_Toc5136950"/>
      <w:r>
        <w:rPr>
          <w:rFonts w:hint="eastAsia" w:ascii="仿宋" w:eastAsia="仿宋" w:cs="仿宋"/>
          <w:sz w:val="28"/>
          <w:szCs w:val="32"/>
        </w:rPr>
        <w:t>附件9：</w:t>
      </w:r>
    </w:p>
    <w:p w14:paraId="0B157586">
      <w:pPr>
        <w:pStyle w:val="2"/>
        <w:spacing w:before="260" w:after="60" w:line="560" w:lineRule="exact"/>
        <w:ind w:firstLine="641"/>
        <w:jc w:val="center"/>
        <w:rPr>
          <w:rFonts w:hint="eastAsia" w:asci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eastAsia="方正小标宋简体" w:cs="方正小标宋简体"/>
          <w:b w:val="0"/>
          <w:bCs w:val="0"/>
        </w:rPr>
        <w:t>湖北经济学院</w:t>
      </w:r>
      <w:r>
        <w:rPr>
          <w:rFonts w:hint="eastAsia" w:ascii="方正小标宋简体" w:eastAsia="方正小标宋简体" w:cs="方正小标宋简体"/>
          <w:b w:val="0"/>
          <w:bCs w:val="0"/>
          <w:lang w:val="en-US" w:eastAsia="zh-CN"/>
        </w:rPr>
        <w:t>会计学院</w:t>
      </w:r>
      <w:r>
        <w:rPr>
          <w:rFonts w:hint="eastAsia" w:ascii="方正小标宋简体" w:eastAsia="方正小标宋简体" w:cs="方正小标宋简体"/>
          <w:b w:val="0"/>
          <w:bCs w:val="0"/>
        </w:rPr>
        <w:t>202</w:t>
      </w:r>
      <w:r>
        <w:rPr>
          <w:rFonts w:ascii="方正小标宋简体" w:eastAsia="方正小标宋简体" w:cs="方正小标宋简体"/>
          <w:b w:val="0"/>
          <w:bCs w:val="0"/>
        </w:rPr>
        <w:t>6</w:t>
      </w:r>
      <w:r>
        <w:rPr>
          <w:rFonts w:hint="eastAsia" w:ascii="方正小标宋简体" w:eastAsia="方正小标宋简体" w:cs="方正小标宋简体"/>
          <w:b w:val="0"/>
          <w:bCs w:val="0"/>
        </w:rPr>
        <w:t>年</w:t>
      </w:r>
    </w:p>
    <w:p w14:paraId="0C938CA6">
      <w:pPr>
        <w:pStyle w:val="2"/>
        <w:spacing w:before="260" w:after="60" w:line="560" w:lineRule="exact"/>
        <w:ind w:firstLine="641"/>
        <w:jc w:val="center"/>
        <w:rPr>
          <w:rFonts w:ascii="Times New Roman" w:hAnsi="Times New Roman" w:eastAsia="方正小标宋简体"/>
        </w:rPr>
      </w:pPr>
      <w:r>
        <w:rPr>
          <w:rFonts w:hint="eastAsia" w:ascii="方正小标宋简体" w:eastAsia="方正小标宋简体" w:cs="方正小标宋简体"/>
          <w:b w:val="0"/>
          <w:bCs w:val="0"/>
        </w:rPr>
        <w:t>暑期社会实践优秀团队评分</w:t>
      </w:r>
      <w:bookmarkEnd w:id="0"/>
      <w:bookmarkEnd w:id="1"/>
      <w:r>
        <w:rPr>
          <w:rFonts w:hint="eastAsia" w:ascii="方正小标宋简体" w:eastAsia="方正小标宋简体" w:cs="方正小标宋简体"/>
          <w:b w:val="0"/>
          <w:bCs w:val="0"/>
        </w:rPr>
        <w:t>标准</w:t>
      </w:r>
    </w:p>
    <w:tbl>
      <w:tblPr>
        <w:tblStyle w:val="24"/>
        <w:tblpPr w:leftFromText="180" w:rightFromText="180" w:vertAnchor="text" w:horzAnchor="margin" w:tblpXSpec="center" w:tblpY="141"/>
        <w:tblW w:w="99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517"/>
        <w:gridCol w:w="5031"/>
        <w:gridCol w:w="1494"/>
      </w:tblGrid>
      <w:tr w14:paraId="337C4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02794B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Times New Roman" w:hAnsi="Times New Roman"/>
                <w:kern w:val="0"/>
                <w:sz w:val="24"/>
                <w:szCs w:val="32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32"/>
              </w:rPr>
              <w:t>项目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76E6F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Times New Roman" w:hAnsi="Times New Roman"/>
                <w:kern w:val="0"/>
                <w:sz w:val="24"/>
                <w:szCs w:val="32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32"/>
              </w:rPr>
              <w:t>内容</w:t>
            </w:r>
          </w:p>
        </w:tc>
        <w:tc>
          <w:tcPr>
            <w:tcW w:w="5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450BC">
            <w:pPr>
              <w:widowControl/>
              <w:snapToGrid w:val="0"/>
              <w:spacing w:before="31" w:beforeLines="10" w:line="300" w:lineRule="exact"/>
              <w:ind w:firstLine="482"/>
              <w:jc w:val="center"/>
              <w:rPr>
                <w:rFonts w:ascii="Times New Roman" w:hAnsi="Times New Roman"/>
                <w:kern w:val="0"/>
                <w:sz w:val="24"/>
                <w:szCs w:val="32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32"/>
              </w:rPr>
              <w:t>计分说明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69071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Times New Roman" w:hAnsi="Times New Roman"/>
                <w:kern w:val="0"/>
                <w:sz w:val="24"/>
                <w:szCs w:val="32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32"/>
              </w:rPr>
              <w:t>最高</w:t>
            </w:r>
            <w:r>
              <w:rPr>
                <w:rFonts w:ascii="Times New Roman" w:hAnsi="Times New Roman"/>
                <w:b/>
                <w:kern w:val="0"/>
                <w:sz w:val="24"/>
                <w:szCs w:val="32"/>
              </w:rPr>
              <w:t>分值</w:t>
            </w:r>
          </w:p>
        </w:tc>
      </w:tr>
      <w:tr w14:paraId="5B7CF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4" w:hRule="atLeast"/>
        </w:trPr>
        <w:tc>
          <w:tcPr>
            <w:tcW w:w="94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4EDC93">
            <w:pPr>
              <w:widowControl/>
              <w:spacing w:line="30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实践</w:t>
            </w:r>
          </w:p>
          <w:p w14:paraId="68037E9E">
            <w:pPr>
              <w:widowControl/>
              <w:spacing w:line="30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得分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3D17E4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实践专项申报</w:t>
            </w:r>
          </w:p>
        </w:tc>
        <w:tc>
          <w:tcPr>
            <w:tcW w:w="5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43D5A">
            <w:pPr>
              <w:widowControl/>
              <w:numPr>
                <w:ilvl w:val="0"/>
                <w:numId w:val="0"/>
              </w:numPr>
              <w:snapToGrid w:val="0"/>
              <w:spacing w:before="31" w:beforeLines="10" w:line="300" w:lineRule="exact"/>
              <w:ind w:left="0" w:leftChars="0" w:firstLine="0" w:firstLineChars="0"/>
              <w:jc w:val="left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Calibri" w:eastAsia="仿宋" w:cs="仿宋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成功申报团中央实践专项的团队，计20分；</w:t>
            </w:r>
          </w:p>
          <w:p w14:paraId="22E94FB2">
            <w:pPr>
              <w:widowControl/>
              <w:numPr>
                <w:ilvl w:val="0"/>
                <w:numId w:val="0"/>
              </w:numPr>
              <w:snapToGrid w:val="0"/>
              <w:spacing w:before="31" w:beforeLines="10" w:line="300" w:lineRule="exact"/>
              <w:ind w:left="0" w:leftChars="0" w:firstLine="0" w:firstLineChars="0"/>
              <w:jc w:val="left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Calibri" w:eastAsia="仿宋" w:cs="仿宋"/>
                <w:kern w:val="0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成功申报团省委实践专项的团队，计15分；</w:t>
            </w:r>
          </w:p>
          <w:p w14:paraId="002E1783">
            <w:pPr>
              <w:widowControl/>
              <w:numPr>
                <w:ilvl w:val="0"/>
                <w:numId w:val="0"/>
              </w:numPr>
              <w:snapToGrid w:val="0"/>
              <w:spacing w:before="31" w:beforeLines="10" w:line="300" w:lineRule="exact"/>
              <w:ind w:left="0" w:leftChars="0" w:firstLine="0" w:firstLineChars="0"/>
              <w:jc w:val="left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Calibri" w:eastAsia="仿宋" w:cs="仿宋"/>
                <w:kern w:val="0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成功申报团市委实践专项的</w:t>
            </w:r>
            <w:bookmarkStart w:id="2" w:name="_GoBack"/>
            <w:bookmarkEnd w:id="2"/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团队，计10分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46F6F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无上限</w:t>
            </w:r>
          </w:p>
        </w:tc>
      </w:tr>
      <w:tr w14:paraId="3C739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</w:trPr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4CF30B"/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5AC14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科研育人培育</w:t>
            </w:r>
          </w:p>
        </w:tc>
        <w:tc>
          <w:tcPr>
            <w:tcW w:w="5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5EE3A">
            <w:pPr>
              <w:widowControl/>
              <w:snapToGrid w:val="0"/>
              <w:spacing w:before="31" w:beforeLines="10" w:line="300" w:lineRule="exact"/>
              <w:jc w:val="left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kern w:val="0"/>
                <w:sz w:val="24"/>
                <w:szCs w:val="24"/>
              </w:rPr>
              <w:t>依据大学生科研立项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或大创</w:t>
            </w:r>
            <w:r>
              <w:rPr>
                <w:rFonts w:ascii="仿宋" w:eastAsia="仿宋" w:cs="仿宋"/>
                <w:kern w:val="0"/>
                <w:sz w:val="24"/>
                <w:szCs w:val="24"/>
              </w:rPr>
              <w:t>项目的方向及需求，开展深入调研，并在扎实调研的基础上，形成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较</w:t>
            </w:r>
            <w:r>
              <w:rPr>
                <w:rFonts w:ascii="仿宋" w:eastAsia="仿宋" w:cs="仿宋"/>
                <w:kern w:val="0"/>
                <w:sz w:val="24"/>
                <w:szCs w:val="24"/>
              </w:rPr>
              <w:t>高质量的调研成果。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B6153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eastAsia="仿宋" w:cs="仿宋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/>
                <w:kern w:val="0"/>
                <w:sz w:val="24"/>
                <w:szCs w:val="24"/>
                <w:lang w:val="en-US" w:eastAsia="zh-CN"/>
              </w:rPr>
              <w:t>5</w:t>
            </w:r>
          </w:p>
        </w:tc>
      </w:tr>
      <w:tr w14:paraId="0771F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6" w:hRule="atLeast"/>
        </w:trPr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201657"/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02EAC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宣传报道</w:t>
            </w:r>
          </w:p>
        </w:tc>
        <w:tc>
          <w:tcPr>
            <w:tcW w:w="5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C8009">
            <w:pPr>
              <w:widowControl/>
              <w:numPr>
                <w:ilvl w:val="0"/>
                <w:numId w:val="0"/>
              </w:numPr>
              <w:snapToGrid w:val="0"/>
              <w:spacing w:before="31" w:beforeLines="10" w:line="300" w:lineRule="exact"/>
              <w:ind w:left="0" w:leftChars="0" w:firstLine="0" w:firstLineChars="0"/>
              <w:jc w:val="left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Calibri" w:eastAsia="仿宋" w:cs="仿宋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团队实践活动获国家级媒体报道，计10分/篇；</w:t>
            </w:r>
          </w:p>
          <w:p w14:paraId="062F8EB1">
            <w:pPr>
              <w:widowControl/>
              <w:numPr>
                <w:ilvl w:val="0"/>
                <w:numId w:val="0"/>
              </w:numPr>
              <w:snapToGrid w:val="0"/>
              <w:spacing w:before="31" w:beforeLines="10" w:line="300" w:lineRule="exact"/>
              <w:ind w:left="0" w:leftChars="0" w:firstLine="0" w:firstLineChars="0"/>
              <w:jc w:val="left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Calibri" w:eastAsia="仿宋" w:cs="仿宋"/>
                <w:kern w:val="0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团队实践活动获省级媒体报道，计8分/篇；</w:t>
            </w:r>
          </w:p>
          <w:p w14:paraId="40ABD51A">
            <w:pPr>
              <w:widowControl/>
              <w:numPr>
                <w:ilvl w:val="0"/>
                <w:numId w:val="0"/>
              </w:numPr>
              <w:snapToGrid w:val="0"/>
              <w:spacing w:before="31" w:beforeLines="10" w:line="300" w:lineRule="exact"/>
              <w:ind w:left="0" w:leftChars="0" w:firstLine="0" w:firstLineChars="0"/>
              <w:jc w:val="left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Calibri" w:eastAsia="仿宋" w:cs="仿宋"/>
                <w:kern w:val="0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团队实践活动获当地（县级及以上）媒体报道或校级宣传平台报道，计6分/每篇；</w:t>
            </w:r>
          </w:p>
          <w:p w14:paraId="5A4D2EAD">
            <w:pPr>
              <w:widowControl/>
              <w:numPr>
                <w:ilvl w:val="0"/>
                <w:numId w:val="0"/>
              </w:numPr>
              <w:snapToGrid w:val="0"/>
              <w:spacing w:before="31" w:beforeLines="10" w:line="300" w:lineRule="exact"/>
              <w:ind w:left="0" w:leftChars="0" w:firstLine="0" w:firstLineChars="0"/>
              <w:jc w:val="left"/>
              <w:rPr>
                <w:rFonts w:hint="eastAsia" w:asci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Calibri" w:eastAsia="仿宋" w:cs="仿宋"/>
                <w:kern w:val="0"/>
                <w:sz w:val="24"/>
                <w:szCs w:val="24"/>
                <w:lang w:val="en-US" w:eastAsia="zh-CN" w:bidi="ar-SA"/>
              </w:rPr>
              <w:t>4.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团队实践活动被“青春经院”微信公众号录用，集锦推文发布相关内容计2分/篇；单篇推文发布计6分/篇；视频发布计10分/篇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lang w:eastAsia="zh-CN"/>
              </w:rPr>
              <w:t>；</w:t>
            </w:r>
          </w:p>
          <w:p w14:paraId="7B880091">
            <w:pPr>
              <w:widowControl/>
              <w:numPr>
                <w:numId w:val="0"/>
              </w:numPr>
              <w:snapToGrid w:val="0"/>
              <w:spacing w:before="31" w:beforeLines="10" w:line="300" w:lineRule="exact"/>
              <w:ind w:leftChars="0"/>
              <w:jc w:val="left"/>
              <w:rPr>
                <w:rFonts w:hint="eastAsia" w:asci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团队实践活动被“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lang w:val="en-US" w:eastAsia="zh-CN"/>
              </w:rPr>
              <w:t>湖北经济学院会计学院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”微信公众号录用，单篇推文发布计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分/篇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5C8A9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cs="仿宋"/>
                <w:kern w:val="0"/>
                <w:sz w:val="24"/>
                <w:szCs w:val="24"/>
              </w:rPr>
              <w:t>5</w:t>
            </w:r>
          </w:p>
        </w:tc>
      </w:tr>
      <w:tr w14:paraId="36819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</w:trPr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407B8B"/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5320C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eastAsia="仿宋" w:cs="仿宋"/>
                <w:kern w:val="0"/>
                <w:sz w:val="24"/>
                <w:szCs w:val="24"/>
                <w:highlight w:val="none"/>
              </w:rPr>
              <w:t>实践成果</w:t>
            </w:r>
          </w:p>
        </w:tc>
        <w:tc>
          <w:tcPr>
            <w:tcW w:w="5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D9899">
            <w:pPr>
              <w:widowControl/>
              <w:numPr>
                <w:ilvl w:val="0"/>
                <w:numId w:val="0"/>
              </w:numPr>
              <w:snapToGrid w:val="0"/>
              <w:spacing w:before="31" w:beforeLines="10" w:line="300" w:lineRule="exact"/>
              <w:ind w:left="0" w:leftChars="0" w:firstLine="0" w:firstLineChars="0"/>
              <w:jc w:val="left"/>
              <w:rPr>
                <w:rFonts w:asci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Calibri" w:eastAsia="仿宋" w:cs="仿宋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highlight w:val="none"/>
              </w:rPr>
              <w:t>实践成果获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院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highlight w:val="none"/>
              </w:rPr>
              <w:t>级一等奖，计10分/项；</w:t>
            </w:r>
          </w:p>
          <w:p w14:paraId="0CCE9197">
            <w:pPr>
              <w:widowControl/>
              <w:numPr>
                <w:ilvl w:val="0"/>
                <w:numId w:val="0"/>
              </w:numPr>
              <w:snapToGrid w:val="0"/>
              <w:spacing w:before="31" w:beforeLines="10" w:line="300" w:lineRule="exact"/>
              <w:ind w:left="0" w:leftChars="0" w:firstLine="0" w:firstLineChars="0"/>
              <w:jc w:val="left"/>
              <w:rPr>
                <w:rFonts w:asci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Calibri" w:eastAsia="仿宋" w:cs="仿宋"/>
                <w:kern w:val="0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highlight w:val="none"/>
              </w:rPr>
              <w:t>实践成果获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院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highlight w:val="none"/>
              </w:rPr>
              <w:t>级二等奖，计8分/项；</w:t>
            </w:r>
          </w:p>
          <w:p w14:paraId="414ED848">
            <w:pPr>
              <w:widowControl/>
              <w:numPr>
                <w:ilvl w:val="0"/>
                <w:numId w:val="0"/>
              </w:numPr>
              <w:snapToGrid w:val="0"/>
              <w:spacing w:before="31" w:beforeLines="10" w:line="300" w:lineRule="exact"/>
              <w:ind w:left="0" w:leftChars="0" w:firstLine="0" w:firstLineChars="0"/>
              <w:jc w:val="left"/>
              <w:rPr>
                <w:rFonts w:asci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Calibri" w:eastAsia="仿宋" w:cs="仿宋"/>
                <w:kern w:val="0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highlight w:val="none"/>
              </w:rPr>
              <w:t>实践成果获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院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highlight w:val="none"/>
              </w:rPr>
              <w:t>级三等奖，计6分/项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4CC3C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</w:tr>
      <w:tr w14:paraId="45136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9DDC1DD"/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C2F54C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安全保障工作</w:t>
            </w:r>
          </w:p>
        </w:tc>
        <w:tc>
          <w:tcPr>
            <w:tcW w:w="5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96D5B">
            <w:pPr>
              <w:widowControl/>
              <w:snapToGrid w:val="0"/>
              <w:spacing w:before="31" w:beforeLines="10" w:line="300" w:lineRule="exact"/>
              <w:jc w:val="left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kern w:val="0"/>
                <w:sz w:val="24"/>
                <w:szCs w:val="24"/>
                <w:lang w:val="en-US" w:eastAsia="zh-CN"/>
              </w:rPr>
              <w:t>指导老师全程跟队，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服从学校和实践基地的管理，时刻保持通讯畅通；团队负责人及时掌握活动开展情况及实践队员安全状况，实行“一日一报”制度，每晚汇报个人所在地、到岗状态等，做到安全实践、平安返校。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33C77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10</w:t>
            </w:r>
          </w:p>
        </w:tc>
      </w:tr>
      <w:tr w14:paraId="76CF7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4A888"/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6175A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遵守组织安排与活动规范</w:t>
            </w:r>
          </w:p>
        </w:tc>
        <w:tc>
          <w:tcPr>
            <w:tcW w:w="5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0C3E2">
            <w:pPr>
              <w:widowControl/>
              <w:numPr>
                <w:ilvl w:val="0"/>
                <w:numId w:val="0"/>
              </w:numPr>
              <w:snapToGrid w:val="0"/>
              <w:spacing w:before="31" w:beforeLines="10" w:line="300" w:lineRule="exact"/>
              <w:ind w:left="0" w:leftChars="0" w:firstLine="0" w:firstLineChars="0"/>
              <w:jc w:val="left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Calibri" w:eastAsia="仿宋" w:cs="仿宋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积极参加校团委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lang w:val="en-US" w:eastAsia="zh-CN"/>
              </w:rPr>
              <w:t>院团委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组织的集中培训活动；</w:t>
            </w:r>
          </w:p>
          <w:p w14:paraId="7E63FAE1">
            <w:pPr>
              <w:widowControl/>
              <w:numPr>
                <w:ilvl w:val="0"/>
                <w:numId w:val="0"/>
              </w:numPr>
              <w:snapToGrid w:val="0"/>
              <w:spacing w:before="31" w:beforeLines="10" w:line="300" w:lineRule="exact"/>
              <w:ind w:left="0" w:leftChars="0" w:firstLine="0" w:firstLineChars="0"/>
              <w:jc w:val="left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Calibri" w:eastAsia="仿宋" w:cs="仿宋"/>
                <w:kern w:val="0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按时上交材料，所交材料均符合通知要求所规定的格式标准；</w:t>
            </w:r>
          </w:p>
          <w:p w14:paraId="7C7CF8C6">
            <w:pPr>
              <w:widowControl/>
              <w:numPr>
                <w:ilvl w:val="0"/>
                <w:numId w:val="0"/>
              </w:numPr>
              <w:snapToGrid w:val="0"/>
              <w:spacing w:before="31" w:beforeLines="10" w:line="300" w:lineRule="exact"/>
              <w:ind w:left="0" w:leftChars="0" w:firstLine="0" w:firstLineChars="0"/>
              <w:jc w:val="left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Calibri" w:eastAsia="仿宋" w:cs="仿宋"/>
                <w:kern w:val="0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按时交还社会实践旗帜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12330">
            <w:pPr>
              <w:widowControl/>
              <w:snapToGrid w:val="0"/>
              <w:spacing w:before="31" w:beforeLines="10" w:line="300" w:lineRule="exact"/>
              <w:jc w:val="left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该项为</w:t>
            </w:r>
            <w:r>
              <w:rPr>
                <w:rFonts w:ascii="仿宋" w:eastAsia="仿宋" w:cs="仿宋"/>
                <w:kern w:val="0"/>
                <w:sz w:val="24"/>
                <w:szCs w:val="24"/>
              </w:rPr>
              <w:t>扣分项，若未按照要求执行，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  <w:lang w:val="en-US" w:eastAsia="zh-CN"/>
              </w:rPr>
              <w:t>院</w:t>
            </w:r>
            <w:r>
              <w:rPr>
                <w:rFonts w:ascii="仿宋" w:eastAsia="仿宋" w:cs="仿宋"/>
                <w:kern w:val="0"/>
                <w:sz w:val="24"/>
                <w:szCs w:val="24"/>
              </w:rPr>
              <w:t>团委将视情节严重程度进行相应扣分</w:t>
            </w: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。</w:t>
            </w:r>
          </w:p>
        </w:tc>
      </w:tr>
      <w:tr w14:paraId="17372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F9C05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总分</w:t>
            </w:r>
          </w:p>
        </w:tc>
        <w:tc>
          <w:tcPr>
            <w:tcW w:w="90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77B91">
            <w:pPr>
              <w:widowControl/>
              <w:snapToGrid w:val="0"/>
              <w:spacing w:before="31" w:beforeLines="10" w:line="30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</w:rPr>
            </w:pPr>
          </w:p>
        </w:tc>
      </w:tr>
    </w:tbl>
    <w:p w14:paraId="3AE3341B">
      <w:pPr>
        <w:rPr>
          <w:rFonts w:ascii="Times New Roman" w:hAnsi="Times New Roman" w:eastAsia="楷体"/>
          <w:b/>
        </w:rPr>
      </w:pPr>
      <w:r>
        <w:rPr>
          <w:rFonts w:hint="eastAsia" w:ascii="仿宋" w:eastAsia="仿宋" w:cs="仿宋"/>
          <w:kern w:val="0"/>
          <w:sz w:val="24"/>
          <w:szCs w:val="24"/>
        </w:rPr>
        <w:t>注：未尽事宜以</w:t>
      </w:r>
      <w:r>
        <w:rPr>
          <w:rFonts w:hint="eastAsia" w:ascii="仿宋" w:eastAsia="仿宋" w:cs="仿宋"/>
          <w:kern w:val="0"/>
          <w:sz w:val="24"/>
          <w:szCs w:val="24"/>
          <w:lang w:val="en-US" w:eastAsia="zh-CN"/>
        </w:rPr>
        <w:t>后续</w:t>
      </w:r>
      <w:r>
        <w:rPr>
          <w:rFonts w:hint="eastAsia" w:ascii="仿宋" w:eastAsia="仿宋" w:cs="仿宋"/>
          <w:kern w:val="0"/>
          <w:sz w:val="24"/>
          <w:szCs w:val="24"/>
        </w:rPr>
        <w:t>通知为准。</w:t>
      </w:r>
    </w:p>
    <w:sectPr>
      <w:headerReference r:id="rId3" w:type="default"/>
      <w:footerReference r:id="rId4" w:type="default"/>
      <w:pgSz w:w="11906" w:h="16838"/>
      <w:pgMar w:top="1418" w:right="1701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8CAC8F">
    <w:pPr>
      <w:pStyle w:val="13"/>
      <w:ind w:firstLine="360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6060" cy="1479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6059" cy="148018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 w14:paraId="38ECECCF">
                          <w:pPr>
                            <w:pStyle w:val="13"/>
                            <w:rPr>
                              <w:rFonts w:ascii="Times New Roman" w:hAnsi="Times New Roman"/>
                            </w:rPr>
                          </w:pPr>
                        </w:p>
                      </w:txbxContent>
                    </wps:txbx>
                    <wps:bodyPr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1.65pt;width:17.8pt;mso-position-horizontal:center;mso-position-horizontal-relative:margin;z-index:251659264;mso-width-relative:page;mso-height-relative:page;" filled="f" stroked="f" coordsize="21600,21600" o:gfxdata="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mFUB61AAAAAMBAAAPAAAAAAAAAAEAIAAAACIAAABkcnMvZG93&#10;bnJldi54bWxQSwECFAAUAAAACACHTuJAq0CNZgQCAAD2AwAADgAAAAAAAAABACAAAAAjAQAAZHJz&#10;L2Uyb0RvYy54bWxQSwUGAAAAAAYABgBZAQAAmQUAAAAA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 w14:paraId="38ECECCF">
                    <w:pPr>
                      <w:pStyle w:val="13"/>
                      <w:rPr>
                        <w:rFonts w:ascii="Times New Roman" w:hAnsi="Times New Roman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27E98B">
    <w:pPr>
      <w:pStyle w:val="1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3B94D4"/>
    <w:multiLevelType w:val="multilevel"/>
    <w:tmpl w:val="6A3B94D4"/>
    <w:lvl w:ilvl="0" w:tentative="0">
      <w:start w:val="1"/>
      <w:numFmt w:val="chineseCountingThousand"/>
      <w:pStyle w:val="38"/>
      <w:lvlText w:val="%1"/>
      <w:lvlJc w:val="left"/>
      <w:pPr>
        <w:tabs>
          <w:tab w:val="left" w:pos="0"/>
        </w:tabs>
        <w:ind w:left="87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0"/>
        </w:tabs>
        <w:ind w:left="654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080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646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2213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2922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3489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4056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4764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doNotShadeFormData w:val="1"/>
  <w:noPunctuationKerning w:val="1"/>
  <w:characterSpacingControl w:val="compressPunctuation"/>
  <w:compat>
    <w:spaceForUL/>
    <w:balanceSingleByteDoubleByteWidth/>
    <w:ulTrailSpace/>
    <w:doNotExpandShiftReturn/>
    <w:adjustLineHeightInTable/>
    <w:growAutofit/>
    <w:useFELayout/>
    <w:doNotUseIndentAsNumberingTabStop/>
    <w:compatSetting w:name="compatibilityMode" w:uri="http://schemas.microsoft.com/office/word" w:val="14"/>
  </w:compat>
  <w:rsids>
    <w:rsidRoot w:val="00000000"/>
    <w:rsid w:val="00536E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line="312" w:lineRule="auto"/>
      <w:ind w:firstLine="200" w:firstLineChars="200"/>
      <w:jc w:val="left"/>
      <w:outlineLvl w:val="1"/>
    </w:pPr>
    <w:rPr>
      <w:rFonts w:ascii="Cambria" w:hAnsi="Cambria" w:eastAsia="黑体" w:cs="宋体"/>
      <w:b/>
      <w:bCs/>
      <w:sz w:val="24"/>
      <w:szCs w:val="32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widowControl w:val="0"/>
      <w:spacing w:before="280" w:after="290" w:line="377" w:lineRule="auto"/>
      <w:outlineLvl w:val="3"/>
    </w:pPr>
    <w:rPr>
      <w:rFonts w:ascii="Cambria" w:hAnsi="Cambria" w:cs="宋体"/>
      <w:b/>
      <w:bCs/>
      <w:sz w:val="28"/>
      <w:szCs w:val="28"/>
    </w:rPr>
  </w:style>
  <w:style w:type="character" w:default="1" w:styleId="25">
    <w:name w:val="Default Paragraph Font"/>
    <w:uiPriority w:val="0"/>
  </w:style>
  <w:style w:type="table" w:default="1" w:styleId="2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qFormat/>
    <w:uiPriority w:val="0"/>
    <w:pPr>
      <w:ind w:left="1200" w:leftChars="1200"/>
    </w:pPr>
    <w:rPr>
      <w:rFonts w:cs="宋体"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toc 5"/>
    <w:basedOn w:val="1"/>
    <w:next w:val="1"/>
    <w:uiPriority w:val="0"/>
    <w:pPr>
      <w:ind w:left="800" w:leftChars="800"/>
    </w:pPr>
    <w:rPr>
      <w:rFonts w:cs="宋体"/>
    </w:rPr>
  </w:style>
  <w:style w:type="paragraph" w:styleId="9">
    <w:name w:val="toc 3"/>
    <w:basedOn w:val="1"/>
    <w:next w:val="1"/>
    <w:qFormat/>
    <w:uiPriority w:val="0"/>
    <w:pPr>
      <w:ind w:left="400" w:leftChars="400"/>
    </w:pPr>
    <w:rPr>
      <w:rFonts w:cs="宋体"/>
    </w:rPr>
  </w:style>
  <w:style w:type="paragraph" w:styleId="10">
    <w:name w:val="toc 8"/>
    <w:basedOn w:val="1"/>
    <w:next w:val="1"/>
    <w:qFormat/>
    <w:uiPriority w:val="0"/>
    <w:pPr>
      <w:ind w:left="1400" w:leftChars="1400"/>
    </w:pPr>
    <w:rPr>
      <w:rFonts w:cs="宋体"/>
    </w:rPr>
  </w:style>
  <w:style w:type="paragraph" w:styleId="11">
    <w:name w:val="Date"/>
    <w:basedOn w:val="1"/>
    <w:next w:val="1"/>
    <w:qFormat/>
    <w:uiPriority w:val="0"/>
    <w:pPr>
      <w:ind w:left="2500" w:leftChars="2500"/>
    </w:pPr>
  </w:style>
  <w:style w:type="paragraph" w:styleId="12">
    <w:name w:val="Balloon Text"/>
    <w:basedOn w:val="1"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qFormat/>
    <w:uiPriority w:val="0"/>
  </w:style>
  <w:style w:type="paragraph" w:styleId="16">
    <w:name w:val="toc 4"/>
    <w:basedOn w:val="1"/>
    <w:next w:val="1"/>
    <w:qFormat/>
    <w:uiPriority w:val="0"/>
    <w:pPr>
      <w:ind w:left="600" w:leftChars="600"/>
    </w:pPr>
    <w:rPr>
      <w:rFonts w:cs="宋体"/>
    </w:rPr>
  </w:style>
  <w:style w:type="paragraph" w:styleId="17">
    <w:name w:val="toc 6"/>
    <w:basedOn w:val="1"/>
    <w:next w:val="1"/>
    <w:qFormat/>
    <w:uiPriority w:val="0"/>
    <w:pPr>
      <w:ind w:left="1000" w:leftChars="1000"/>
    </w:pPr>
    <w:rPr>
      <w:rFonts w:cs="宋体"/>
    </w:rPr>
  </w:style>
  <w:style w:type="paragraph" w:styleId="18">
    <w:name w:val="toc 2"/>
    <w:basedOn w:val="1"/>
    <w:next w:val="1"/>
    <w:qFormat/>
    <w:uiPriority w:val="0"/>
    <w:pPr>
      <w:ind w:left="200" w:leftChars="200"/>
    </w:pPr>
  </w:style>
  <w:style w:type="paragraph" w:styleId="19">
    <w:name w:val="toc 9"/>
    <w:basedOn w:val="1"/>
    <w:next w:val="1"/>
    <w:qFormat/>
    <w:uiPriority w:val="0"/>
    <w:pPr>
      <w:ind w:left="1600" w:leftChars="1600"/>
    </w:pPr>
    <w:rPr>
      <w:rFonts w:cs="宋体"/>
    </w:rPr>
  </w:style>
  <w:style w:type="paragraph" w:styleId="20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/>
      <w:kern w:val="0"/>
      <w:sz w:val="24"/>
      <w:szCs w:val="24"/>
    </w:rPr>
  </w:style>
  <w:style w:type="paragraph" w:styleId="2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paragraph" w:styleId="2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宋体"/>
      <w:b/>
      <w:bCs/>
      <w:sz w:val="32"/>
      <w:szCs w:val="32"/>
    </w:rPr>
  </w:style>
  <w:style w:type="paragraph" w:styleId="23">
    <w:name w:val="annotation subject"/>
    <w:basedOn w:val="7"/>
    <w:next w:val="7"/>
    <w:qFormat/>
    <w:uiPriority w:val="0"/>
    <w:rPr>
      <w:b/>
      <w:bCs/>
    </w:rPr>
  </w:style>
  <w:style w:type="character" w:styleId="26">
    <w:name w:val="Strong"/>
    <w:basedOn w:val="25"/>
    <w:qFormat/>
    <w:uiPriority w:val="0"/>
    <w:rPr>
      <w:b/>
    </w:rPr>
  </w:style>
  <w:style w:type="character" w:styleId="27">
    <w:name w:val="page number"/>
    <w:qFormat/>
    <w:uiPriority w:val="0"/>
    <w:rPr>
      <w:rFonts w:ascii="Calibri" w:hAnsi="Calibri" w:eastAsia="宋体" w:cs="Times New Roman"/>
    </w:rPr>
  </w:style>
  <w:style w:type="character" w:styleId="28">
    <w:name w:val="Emphasis"/>
    <w:basedOn w:val="25"/>
    <w:qFormat/>
    <w:uiPriority w:val="0"/>
    <w:rPr>
      <w:i/>
      <w:iCs/>
    </w:rPr>
  </w:style>
  <w:style w:type="character" w:styleId="29">
    <w:name w:val="Hyperlink"/>
    <w:qFormat/>
    <w:uiPriority w:val="0"/>
    <w:rPr>
      <w:rFonts w:ascii="Calibri" w:hAnsi="Calibri" w:eastAsia="宋体" w:cs="Times New Roman"/>
      <w:color w:val="0000FF"/>
      <w:u w:val="single"/>
    </w:rPr>
  </w:style>
  <w:style w:type="character" w:styleId="30">
    <w:name w:val="annotation reference"/>
    <w:qFormat/>
    <w:uiPriority w:val="0"/>
    <w:rPr>
      <w:rFonts w:ascii="Calibri" w:hAnsi="Calibri" w:eastAsia="宋体" w:cs="Times New Roman"/>
      <w:sz w:val="21"/>
      <w:szCs w:val="21"/>
    </w:rPr>
  </w:style>
  <w:style w:type="paragraph" w:customStyle="1" w:styleId="31">
    <w:name w:val="TOC Heading_c2522008-a40e-4be3-a5bd-b9af8d8e5511"/>
    <w:basedOn w:val="2"/>
    <w:next w:val="1"/>
    <w:qFormat/>
    <w:uiPriority w:val="0"/>
    <w:pPr>
      <w:keepNext/>
      <w:keepLines/>
      <w:widowControl/>
      <w:spacing w:before="480" w:after="0" w:line="276" w:lineRule="auto"/>
      <w:jc w:val="left"/>
      <w:outlineLvl w:val="9"/>
    </w:pPr>
    <w:rPr>
      <w:rFonts w:ascii="Cambria" w:hAnsi="Cambria" w:cs="宋体"/>
      <w:color w:val="376092"/>
      <w:kern w:val="0"/>
      <w:sz w:val="28"/>
      <w:szCs w:val="28"/>
    </w:rPr>
  </w:style>
  <w:style w:type="character" w:customStyle="1" w:styleId="32">
    <w:name w:val="未处理的提及1"/>
    <w:basedOn w:val="25"/>
    <w:qFormat/>
    <w:uiPriority w:val="0"/>
    <w:rPr>
      <w:color w:val="605E5C"/>
      <w:shd w:val="clear" w:color="auto" w:fill="E1DFDD"/>
    </w:rPr>
  </w:style>
  <w:style w:type="paragraph" w:customStyle="1" w:styleId="33">
    <w:name w:val="TOC 标题1"/>
    <w:basedOn w:val="2"/>
    <w:next w:val="1"/>
    <w:qFormat/>
    <w:uiPriority w:val="0"/>
    <w:pPr>
      <w:keepNext/>
      <w:keepLines/>
      <w:widowControl/>
      <w:spacing w:before="480" w:after="0" w:line="276" w:lineRule="auto"/>
      <w:jc w:val="left"/>
      <w:outlineLvl w:val="9"/>
    </w:pPr>
    <w:rPr>
      <w:rFonts w:ascii="Cambria" w:hAnsi="Cambria" w:cs="宋体"/>
      <w:color w:val="365F91"/>
      <w:kern w:val="0"/>
      <w:sz w:val="28"/>
      <w:szCs w:val="28"/>
    </w:rPr>
  </w:style>
  <w:style w:type="paragraph" w:customStyle="1" w:styleId="34">
    <w:name w:val="2标题"/>
    <w:basedOn w:val="1"/>
    <w:qFormat/>
    <w:uiPriority w:val="0"/>
    <w:pPr>
      <w:outlineLvl w:val="1"/>
    </w:pPr>
    <w:rPr>
      <w:rFonts w:ascii="宋体"/>
      <w:b/>
      <w:sz w:val="24"/>
      <w:szCs w:val="24"/>
    </w:rPr>
  </w:style>
  <w:style w:type="paragraph" w:customStyle="1" w:styleId="35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paragraph" w:customStyle="1" w:styleId="36">
    <w:name w:val="列表段落1"/>
    <w:basedOn w:val="1"/>
    <w:qFormat/>
    <w:uiPriority w:val="0"/>
    <w:pPr>
      <w:ind w:firstLine="200" w:firstLineChars="200"/>
    </w:pPr>
  </w:style>
  <w:style w:type="paragraph" w:customStyle="1" w:styleId="37">
    <w:name w:val="修订1"/>
    <w:qFormat/>
    <w:uiPriority w:val="0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38">
    <w:name w:val="嗯嗯"/>
    <w:basedOn w:val="1"/>
    <w:qFormat/>
    <w:uiPriority w:val="0"/>
    <w:pPr>
      <w:numPr>
        <w:ilvl w:val="0"/>
        <w:numId w:val="1"/>
      </w:numPr>
      <w:snapToGrid w:val="0"/>
      <w:spacing w:line="360" w:lineRule="auto"/>
      <w:ind w:left="87" w:firstLine="200" w:firstLineChars="200"/>
      <w:jc w:val="left"/>
    </w:pPr>
    <w:rPr>
      <w:rFonts w:ascii="仿宋_GB2312" w:eastAsia="仿宋_GB2312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1</Pages>
  <Words>591</Words>
  <Characters>604</Characters>
  <Lines>59</Lines>
  <Paragraphs>38</Paragraphs>
  <TotalTime>18</TotalTime>
  <ScaleCrop>false</ScaleCrop>
  <LinksUpToDate>false</LinksUpToDate>
  <CharactersWithSpaces>609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2025-05-19T00:06:00Z</dcterms:created>
  <dc:creator>admin</dc:creator>
  <cp:lastModifiedBy>蔡卓嵘</cp:lastModifiedBy>
  <cp:lastPrinted>2025-06-12T11:35:00Z</cp:lastPrinted>
  <dcterms:modified xsi:type="dcterms:W3CDTF">2026-07-02T08:30:18Z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E308663E0B0B4A6DB85BDCE3F7939F13_13</vt:lpwstr>
  </property>
  <property fmtid="{D5CDD505-2E9C-101B-9397-08002B2CF9AE}" pid="3" name="KSOTemplateDocerSaveRecord">
    <vt:lpwstr>eyJoZGlkIjoiNmMzZTkxYmNhM2U0NDYyMDAwM2U4NDFiMGMyN2VjYzIiLCJ1c2VySWQiOiIyNzQxNjQ4NTYifQ==</vt:lpwstr>
  </property>
  <property fmtid="{D5CDD505-2E9C-101B-9397-08002B2CF9AE}" pid="4" name="KSOProductBuildVer">
    <vt:lpwstr>2052-12.1.0.26895</vt:lpwstr>
  </property>
</Properties>
</file>